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5CE7" w:rsidRPr="00BD531B" w:rsidRDefault="0032170D" w:rsidP="002E1FE9">
      <w:pPr>
        <w:pStyle w:val="Nagwek1"/>
        <w:spacing w:line="360" w:lineRule="auto"/>
        <w:rPr>
          <w:rFonts w:eastAsia="Times New Roman"/>
          <w:szCs w:val="24"/>
          <w:lang w:eastAsia="pl-PL"/>
        </w:rPr>
      </w:pPr>
      <w:r w:rsidRPr="00BD531B">
        <w:rPr>
          <w:rFonts w:eastAsia="Times New Roman"/>
          <w:szCs w:val="24"/>
          <w:lang w:eastAsia="pl-PL"/>
        </w:rPr>
        <w:t>Ustawa o przeciwdziałaniu praniu pieniędzy. Jak i kiedy stosują ustawę organizacje pozarządowe.</w:t>
      </w:r>
    </w:p>
    <w:p w:rsidR="00BD531B" w:rsidRPr="00BD531B" w:rsidRDefault="00BD531B" w:rsidP="002E1FE9">
      <w:pPr>
        <w:pStyle w:val="Nagwek1"/>
        <w:spacing w:line="360" w:lineRule="auto"/>
        <w:rPr>
          <w:szCs w:val="24"/>
        </w:rPr>
      </w:pPr>
      <w:r w:rsidRPr="00BD531B">
        <w:rPr>
          <w:szCs w:val="24"/>
        </w:rPr>
        <w:t>Dotyczy:</w:t>
      </w:r>
    </w:p>
    <w:p w:rsidR="00BD531B" w:rsidRPr="00BD531B" w:rsidRDefault="00BD531B" w:rsidP="002E1FE9">
      <w:pPr>
        <w:pStyle w:val="Akapitzlist"/>
        <w:numPr>
          <w:ilvl w:val="0"/>
          <w:numId w:val="6"/>
        </w:numPr>
        <w:spacing w:line="360" w:lineRule="auto"/>
        <w:rPr>
          <w:rFonts w:ascii="Verdana" w:hAnsi="Verdana"/>
          <w:sz w:val="24"/>
          <w:szCs w:val="24"/>
        </w:rPr>
      </w:pPr>
      <w:r w:rsidRPr="009B1BE0">
        <w:rPr>
          <w:rFonts w:ascii="Verdana" w:hAnsi="Verdana"/>
          <w:b/>
          <w:sz w:val="24"/>
          <w:szCs w:val="24"/>
        </w:rPr>
        <w:t>fundacje</w:t>
      </w:r>
      <w:r w:rsidRPr="00BD531B">
        <w:rPr>
          <w:rFonts w:ascii="Verdana" w:hAnsi="Verdana"/>
          <w:sz w:val="24"/>
          <w:szCs w:val="24"/>
        </w:rPr>
        <w:t xml:space="preserve"> ustanowione na podstawie ustawy z dnia 6 kwietnia 1984 r</w:t>
      </w:r>
      <w:r w:rsidR="008A3DBF">
        <w:rPr>
          <w:rFonts w:ascii="Verdana" w:hAnsi="Verdana"/>
          <w:sz w:val="24"/>
          <w:szCs w:val="24"/>
        </w:rPr>
        <w:t>oku</w:t>
      </w:r>
      <w:r w:rsidRPr="00BD531B">
        <w:rPr>
          <w:rFonts w:ascii="Verdana" w:hAnsi="Verdana"/>
          <w:sz w:val="24"/>
          <w:szCs w:val="24"/>
        </w:rPr>
        <w:t xml:space="preserve"> o fundacjach (</w:t>
      </w:r>
      <w:r w:rsidR="005C401D">
        <w:rPr>
          <w:rFonts w:ascii="Verdana" w:hAnsi="Verdana"/>
          <w:sz w:val="24"/>
          <w:szCs w:val="24"/>
        </w:rPr>
        <w:t xml:space="preserve">tekst jednolity </w:t>
      </w:r>
      <w:r w:rsidRPr="00BD531B">
        <w:rPr>
          <w:rFonts w:ascii="Verdana" w:hAnsi="Verdana"/>
          <w:sz w:val="24"/>
          <w:szCs w:val="24"/>
        </w:rPr>
        <w:t>Dz</w:t>
      </w:r>
      <w:r w:rsidR="00CE5729">
        <w:rPr>
          <w:rFonts w:ascii="Verdana" w:hAnsi="Verdana"/>
          <w:sz w:val="24"/>
          <w:szCs w:val="24"/>
        </w:rPr>
        <w:t>iennik</w:t>
      </w:r>
      <w:r w:rsidRPr="00BD531B">
        <w:rPr>
          <w:rFonts w:ascii="Verdana" w:hAnsi="Verdana"/>
          <w:sz w:val="24"/>
          <w:szCs w:val="24"/>
        </w:rPr>
        <w:t xml:space="preserve"> U</w:t>
      </w:r>
      <w:r w:rsidR="00CE5729">
        <w:rPr>
          <w:rFonts w:ascii="Verdana" w:hAnsi="Verdana"/>
          <w:sz w:val="24"/>
          <w:szCs w:val="24"/>
        </w:rPr>
        <w:t>staw</w:t>
      </w:r>
      <w:r w:rsidRPr="00BD531B">
        <w:rPr>
          <w:rFonts w:ascii="Verdana" w:hAnsi="Verdana"/>
          <w:sz w:val="24"/>
          <w:szCs w:val="24"/>
        </w:rPr>
        <w:t xml:space="preserve"> z 202</w:t>
      </w:r>
      <w:r w:rsidR="0036373B">
        <w:rPr>
          <w:rFonts w:ascii="Verdana" w:hAnsi="Verdana"/>
          <w:sz w:val="24"/>
          <w:szCs w:val="24"/>
        </w:rPr>
        <w:t>3</w:t>
      </w:r>
      <w:r w:rsidRPr="00BD531B">
        <w:rPr>
          <w:rFonts w:ascii="Verdana" w:hAnsi="Verdana"/>
          <w:sz w:val="24"/>
          <w:szCs w:val="24"/>
        </w:rPr>
        <w:t xml:space="preserve"> r</w:t>
      </w:r>
      <w:r>
        <w:rPr>
          <w:rFonts w:ascii="Verdana" w:hAnsi="Verdana"/>
          <w:sz w:val="24"/>
          <w:szCs w:val="24"/>
        </w:rPr>
        <w:t xml:space="preserve">oku </w:t>
      </w:r>
      <w:r w:rsidRPr="00BD531B">
        <w:rPr>
          <w:rFonts w:ascii="Verdana" w:hAnsi="Verdana"/>
          <w:sz w:val="24"/>
          <w:szCs w:val="24"/>
        </w:rPr>
        <w:t>poz</w:t>
      </w:r>
      <w:r>
        <w:rPr>
          <w:rFonts w:ascii="Verdana" w:hAnsi="Verdana"/>
          <w:sz w:val="24"/>
          <w:szCs w:val="24"/>
        </w:rPr>
        <w:t>ycja</w:t>
      </w:r>
      <w:r w:rsidRPr="00BD531B">
        <w:rPr>
          <w:rFonts w:ascii="Verdana" w:hAnsi="Verdana"/>
          <w:sz w:val="24"/>
          <w:szCs w:val="24"/>
        </w:rPr>
        <w:t xml:space="preserve"> </w:t>
      </w:r>
      <w:r w:rsidR="0036373B">
        <w:rPr>
          <w:rFonts w:ascii="Verdana" w:hAnsi="Verdana"/>
          <w:sz w:val="24"/>
          <w:szCs w:val="24"/>
        </w:rPr>
        <w:t>166</w:t>
      </w:r>
      <w:r w:rsidRPr="00BD531B">
        <w:rPr>
          <w:rFonts w:ascii="Verdana" w:hAnsi="Verdana"/>
          <w:sz w:val="24"/>
          <w:szCs w:val="24"/>
        </w:rPr>
        <w:t>) w</w:t>
      </w:r>
      <w:r w:rsidR="003E75BB">
        <w:rPr>
          <w:rFonts w:ascii="Verdana" w:hAnsi="Verdana"/>
          <w:sz w:val="24"/>
          <w:szCs w:val="24"/>
        </w:rPr>
        <w:t> </w:t>
      </w:r>
      <w:r w:rsidRPr="00BD531B">
        <w:rPr>
          <w:rFonts w:ascii="Verdana" w:hAnsi="Verdana"/>
          <w:sz w:val="24"/>
          <w:szCs w:val="24"/>
        </w:rPr>
        <w:t>zakresie, w jakim przyjmują lub dokonują płatności w gotówce o</w:t>
      </w:r>
      <w:r w:rsidR="003E75BB">
        <w:rPr>
          <w:rFonts w:ascii="Verdana" w:hAnsi="Verdana"/>
          <w:sz w:val="24"/>
          <w:szCs w:val="24"/>
        </w:rPr>
        <w:t> </w:t>
      </w:r>
      <w:r w:rsidRPr="00BD531B">
        <w:rPr>
          <w:rFonts w:ascii="Verdana" w:hAnsi="Verdana"/>
          <w:sz w:val="24"/>
          <w:szCs w:val="24"/>
        </w:rPr>
        <w:t xml:space="preserve">wartości równej lub przekraczającej równowartość 10000 euro, bez względu na to, czy płatność jest przeprowadzana jako pojedyncza operacja, czy kilka operacji, które wydają się ze sobą powiązane; </w:t>
      </w:r>
    </w:p>
    <w:p w:rsidR="00BD531B" w:rsidRPr="00BD531B" w:rsidRDefault="00BD531B" w:rsidP="002E1FE9">
      <w:pPr>
        <w:pStyle w:val="Akapitzlist"/>
        <w:numPr>
          <w:ilvl w:val="0"/>
          <w:numId w:val="6"/>
        </w:numPr>
        <w:spacing w:line="360" w:lineRule="auto"/>
        <w:rPr>
          <w:rFonts w:ascii="Verdana" w:hAnsi="Verdana"/>
          <w:sz w:val="24"/>
          <w:szCs w:val="24"/>
        </w:rPr>
      </w:pPr>
      <w:r w:rsidRPr="009B1BE0">
        <w:rPr>
          <w:rFonts w:ascii="Verdana" w:hAnsi="Verdana"/>
          <w:b/>
          <w:sz w:val="24"/>
          <w:szCs w:val="24"/>
        </w:rPr>
        <w:t>stowarzyszenia posiadające osobowość prawną</w:t>
      </w:r>
      <w:r w:rsidRPr="00BD531B">
        <w:rPr>
          <w:rFonts w:ascii="Verdana" w:hAnsi="Verdana"/>
          <w:sz w:val="24"/>
          <w:szCs w:val="24"/>
        </w:rPr>
        <w:t>, utworzone na podstawie ustawy z dnia 7 kwietnia 1989 r</w:t>
      </w:r>
      <w:r w:rsidR="00CE5729">
        <w:rPr>
          <w:rFonts w:ascii="Verdana" w:hAnsi="Verdana"/>
          <w:sz w:val="24"/>
          <w:szCs w:val="24"/>
        </w:rPr>
        <w:t>oku</w:t>
      </w:r>
      <w:r w:rsidRPr="00BD531B">
        <w:rPr>
          <w:rFonts w:ascii="Verdana" w:hAnsi="Verdana"/>
          <w:sz w:val="24"/>
          <w:szCs w:val="24"/>
        </w:rPr>
        <w:t xml:space="preserve"> – Prawo o</w:t>
      </w:r>
      <w:r w:rsidR="003E75BB">
        <w:rPr>
          <w:rFonts w:ascii="Verdana" w:hAnsi="Verdana"/>
          <w:sz w:val="24"/>
          <w:szCs w:val="24"/>
        </w:rPr>
        <w:t> </w:t>
      </w:r>
      <w:r w:rsidRPr="00BD531B">
        <w:rPr>
          <w:rFonts w:ascii="Verdana" w:hAnsi="Verdana"/>
          <w:sz w:val="24"/>
          <w:szCs w:val="24"/>
        </w:rPr>
        <w:t>stowarzyszeniach</w:t>
      </w:r>
      <w:r w:rsidR="00B25CE5">
        <w:rPr>
          <w:rFonts w:ascii="Verdana" w:hAnsi="Verdana"/>
          <w:sz w:val="24"/>
          <w:szCs w:val="24"/>
        </w:rPr>
        <w:t xml:space="preserve"> (tekst jednolity </w:t>
      </w:r>
      <w:r w:rsidRPr="00BD531B">
        <w:rPr>
          <w:rFonts w:ascii="Verdana" w:hAnsi="Verdana"/>
          <w:sz w:val="24"/>
          <w:szCs w:val="24"/>
        </w:rPr>
        <w:t>Dz</w:t>
      </w:r>
      <w:r w:rsidR="00CE5729">
        <w:rPr>
          <w:rFonts w:ascii="Verdana" w:hAnsi="Verdana"/>
          <w:sz w:val="24"/>
          <w:szCs w:val="24"/>
        </w:rPr>
        <w:t>iennik</w:t>
      </w:r>
      <w:r w:rsidRPr="00BD531B">
        <w:rPr>
          <w:rFonts w:ascii="Verdana" w:hAnsi="Verdana"/>
          <w:sz w:val="24"/>
          <w:szCs w:val="24"/>
        </w:rPr>
        <w:t xml:space="preserve"> U</w:t>
      </w:r>
      <w:r w:rsidR="00CE5729">
        <w:rPr>
          <w:rFonts w:ascii="Verdana" w:hAnsi="Verdana"/>
          <w:sz w:val="24"/>
          <w:szCs w:val="24"/>
        </w:rPr>
        <w:t>staw</w:t>
      </w:r>
      <w:r w:rsidRPr="00BD531B">
        <w:rPr>
          <w:rFonts w:ascii="Verdana" w:hAnsi="Verdana"/>
          <w:sz w:val="24"/>
          <w:szCs w:val="24"/>
        </w:rPr>
        <w:t xml:space="preserve"> z 2020 r</w:t>
      </w:r>
      <w:r>
        <w:rPr>
          <w:rFonts w:ascii="Verdana" w:hAnsi="Verdana"/>
          <w:sz w:val="24"/>
          <w:szCs w:val="24"/>
        </w:rPr>
        <w:t>oku</w:t>
      </w:r>
      <w:r w:rsidRPr="00BD531B">
        <w:rPr>
          <w:rFonts w:ascii="Verdana" w:hAnsi="Verdana"/>
          <w:sz w:val="24"/>
          <w:szCs w:val="24"/>
        </w:rPr>
        <w:t xml:space="preserve"> poz</w:t>
      </w:r>
      <w:r>
        <w:rPr>
          <w:rFonts w:ascii="Verdana" w:hAnsi="Verdana"/>
          <w:sz w:val="24"/>
          <w:szCs w:val="24"/>
        </w:rPr>
        <w:t>ycja</w:t>
      </w:r>
      <w:r w:rsidRPr="00BD531B">
        <w:rPr>
          <w:rFonts w:ascii="Verdana" w:hAnsi="Verdana"/>
          <w:sz w:val="24"/>
          <w:szCs w:val="24"/>
        </w:rPr>
        <w:t xml:space="preserve"> 2261), w zakresie, w jakim przyjmują lub dokonują płatności w</w:t>
      </w:r>
      <w:r w:rsidR="00B25CE5">
        <w:rPr>
          <w:rFonts w:ascii="Verdana" w:hAnsi="Verdana"/>
          <w:sz w:val="24"/>
          <w:szCs w:val="24"/>
        </w:rPr>
        <w:t> </w:t>
      </w:r>
      <w:r w:rsidRPr="00BD531B">
        <w:rPr>
          <w:rFonts w:ascii="Verdana" w:hAnsi="Verdana"/>
          <w:sz w:val="24"/>
          <w:szCs w:val="24"/>
        </w:rPr>
        <w:t>gotówce o wartości równej lub przekraczającej równowartość 10 000 euro, bez względu na to, czy płatność jest przeprowadzana jako pojedyncza operacja, czy kilka operacji, które wydają się ze sobą powiązane;</w:t>
      </w:r>
    </w:p>
    <w:p w:rsidR="00F24F66" w:rsidRDefault="004A3150" w:rsidP="002E1FE9">
      <w:p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W </w:t>
      </w:r>
      <w:r w:rsidR="00736FBE">
        <w:rPr>
          <w:rFonts w:ascii="Verdana" w:hAnsi="Verdana"/>
          <w:sz w:val="24"/>
          <w:szCs w:val="24"/>
        </w:rPr>
        <w:t xml:space="preserve">związku z </w:t>
      </w:r>
      <w:r>
        <w:rPr>
          <w:rFonts w:ascii="Verdana" w:hAnsi="Verdana"/>
          <w:sz w:val="24"/>
          <w:szCs w:val="24"/>
        </w:rPr>
        <w:t>noweliz</w:t>
      </w:r>
      <w:r w:rsidR="00736FBE">
        <w:rPr>
          <w:rFonts w:ascii="Verdana" w:hAnsi="Verdana"/>
          <w:sz w:val="24"/>
          <w:szCs w:val="24"/>
        </w:rPr>
        <w:t>acją</w:t>
      </w:r>
      <w:r>
        <w:rPr>
          <w:rFonts w:ascii="Verdana" w:hAnsi="Verdana"/>
          <w:sz w:val="24"/>
          <w:szCs w:val="24"/>
        </w:rPr>
        <w:t xml:space="preserve"> ustaw</w:t>
      </w:r>
      <w:r w:rsidR="00736FBE">
        <w:rPr>
          <w:rFonts w:ascii="Verdana" w:hAnsi="Verdana"/>
          <w:sz w:val="24"/>
          <w:szCs w:val="24"/>
        </w:rPr>
        <w:t>y</w:t>
      </w:r>
      <w:r>
        <w:rPr>
          <w:rFonts w:ascii="Verdana" w:hAnsi="Verdana"/>
          <w:sz w:val="24"/>
          <w:szCs w:val="24"/>
        </w:rPr>
        <w:t xml:space="preserve"> o przeciwdziałaniu praniu </w:t>
      </w:r>
      <w:r w:rsidR="009B1BE0">
        <w:rPr>
          <w:rFonts w:ascii="Verdana" w:hAnsi="Verdana"/>
          <w:sz w:val="24"/>
          <w:szCs w:val="24"/>
        </w:rPr>
        <w:t xml:space="preserve">pieniędzy </w:t>
      </w:r>
      <w:r>
        <w:rPr>
          <w:rFonts w:ascii="Verdana" w:hAnsi="Verdana"/>
          <w:sz w:val="24"/>
          <w:szCs w:val="24"/>
        </w:rPr>
        <w:t>i</w:t>
      </w:r>
      <w:r w:rsidR="00B25CE5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 xml:space="preserve">finansowaniu terroryzmu, </w:t>
      </w:r>
      <w:r w:rsidR="00736FBE">
        <w:rPr>
          <w:rFonts w:ascii="Verdana" w:hAnsi="Verdana"/>
          <w:sz w:val="24"/>
          <w:szCs w:val="24"/>
        </w:rPr>
        <w:t>(tekst jednolity Dziennik Ustaw z 2022 roku pozycja 593 z późniejszymi zmianami) zwanej dalej ustawą, o</w:t>
      </w:r>
      <w:r w:rsidR="0032170D">
        <w:rPr>
          <w:rFonts w:ascii="Verdana" w:hAnsi="Verdana"/>
          <w:sz w:val="24"/>
          <w:szCs w:val="24"/>
        </w:rPr>
        <w:t>rganizacje pozarządowe, między innymi fundacje i stowarzyszenia, są obowiązane do stosowania ustawy, jeśli spełniają</w:t>
      </w:r>
      <w:r>
        <w:rPr>
          <w:rFonts w:ascii="Verdana" w:hAnsi="Verdana"/>
          <w:sz w:val="24"/>
          <w:szCs w:val="24"/>
        </w:rPr>
        <w:t xml:space="preserve"> </w:t>
      </w:r>
      <w:r w:rsidR="005A7D54">
        <w:rPr>
          <w:rFonts w:ascii="Verdana" w:hAnsi="Verdana"/>
          <w:sz w:val="24"/>
          <w:szCs w:val="24"/>
        </w:rPr>
        <w:t>jedno z poniższych kryteri</w:t>
      </w:r>
      <w:r>
        <w:rPr>
          <w:rFonts w:ascii="Verdana" w:hAnsi="Verdana"/>
          <w:sz w:val="24"/>
          <w:szCs w:val="24"/>
        </w:rPr>
        <w:t>ów:</w:t>
      </w:r>
    </w:p>
    <w:p w:rsidR="004A3150" w:rsidRPr="00820FC0" w:rsidRDefault="00B25CE5" w:rsidP="002E1FE9">
      <w:pPr>
        <w:pStyle w:val="Akapitzlist"/>
        <w:numPr>
          <w:ilvl w:val="0"/>
          <w:numId w:val="4"/>
        </w:num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p</w:t>
      </w:r>
      <w:r w:rsidR="004A3150">
        <w:rPr>
          <w:rFonts w:ascii="Verdana" w:hAnsi="Verdana"/>
          <w:sz w:val="24"/>
          <w:szCs w:val="24"/>
        </w:rPr>
        <w:t xml:space="preserve">rzyjmują lub dokonują płatności w gotówce o wartości równej lub przekraczającej równowartość 10 000 euro, bez względu na to, czy płatność jest przeprowadzona jako pojedyncza operacja, czy kilka </w:t>
      </w:r>
      <w:r w:rsidR="004A3150" w:rsidRPr="00820FC0">
        <w:rPr>
          <w:rFonts w:ascii="Verdana" w:hAnsi="Verdana"/>
          <w:sz w:val="24"/>
          <w:szCs w:val="24"/>
        </w:rPr>
        <w:t>operacji, które wydają się ze sobą powiązane;</w:t>
      </w:r>
    </w:p>
    <w:p w:rsidR="00F4199C" w:rsidRPr="00820FC0" w:rsidRDefault="00F4199C" w:rsidP="002E1FE9">
      <w:pPr>
        <w:pStyle w:val="Akapitzlist"/>
        <w:numPr>
          <w:ilvl w:val="0"/>
          <w:numId w:val="4"/>
        </w:numPr>
        <w:spacing w:after="0" w:line="360" w:lineRule="auto"/>
        <w:rPr>
          <w:rFonts w:ascii="Verdana" w:hAnsi="Verdana"/>
          <w:sz w:val="24"/>
          <w:szCs w:val="24"/>
        </w:rPr>
      </w:pPr>
      <w:r w:rsidRPr="00820FC0">
        <w:rPr>
          <w:rFonts w:ascii="Verdana" w:hAnsi="Verdana"/>
          <w:sz w:val="24"/>
          <w:szCs w:val="24"/>
        </w:rPr>
        <w:t xml:space="preserve">podmioty prowadzące działalność w zakresie usługowego prowadzenia ksiąg rachunkowych; </w:t>
      </w:r>
    </w:p>
    <w:p w:rsidR="00F4199C" w:rsidRDefault="00F4199C" w:rsidP="002E1FE9">
      <w:pPr>
        <w:pStyle w:val="Akapitzlist"/>
        <w:numPr>
          <w:ilvl w:val="0"/>
          <w:numId w:val="4"/>
        </w:numPr>
        <w:spacing w:after="0" w:line="360" w:lineRule="auto"/>
        <w:rPr>
          <w:rFonts w:ascii="Verdana" w:hAnsi="Verdana"/>
          <w:sz w:val="24"/>
          <w:szCs w:val="24"/>
        </w:rPr>
      </w:pPr>
      <w:r w:rsidRPr="00820FC0">
        <w:rPr>
          <w:rFonts w:ascii="Verdana" w:hAnsi="Verdana"/>
          <w:sz w:val="24"/>
          <w:szCs w:val="24"/>
        </w:rPr>
        <w:lastRenderedPageBreak/>
        <w:t>podmioty prowadzące działalność w zakresie gier losowych, zakładów wzajemnych, gier w karty i gier na automatach w</w:t>
      </w:r>
      <w:r w:rsidR="00B25CE5">
        <w:rPr>
          <w:rFonts w:ascii="Verdana" w:hAnsi="Verdana"/>
          <w:sz w:val="24"/>
          <w:szCs w:val="24"/>
        </w:rPr>
        <w:t> </w:t>
      </w:r>
      <w:r w:rsidRPr="00820FC0">
        <w:rPr>
          <w:rFonts w:ascii="Verdana" w:hAnsi="Verdana"/>
          <w:sz w:val="24"/>
          <w:szCs w:val="24"/>
        </w:rPr>
        <w:t>rozumieniu ustawy z dnia 19 listopada 2009 r</w:t>
      </w:r>
      <w:r w:rsidR="00B25CE5">
        <w:rPr>
          <w:rFonts w:ascii="Verdana" w:hAnsi="Verdana"/>
          <w:sz w:val="24"/>
          <w:szCs w:val="24"/>
        </w:rPr>
        <w:t>oku</w:t>
      </w:r>
      <w:r w:rsidRPr="00820FC0">
        <w:rPr>
          <w:rFonts w:ascii="Verdana" w:hAnsi="Verdana"/>
          <w:sz w:val="24"/>
          <w:szCs w:val="24"/>
        </w:rPr>
        <w:t xml:space="preserve"> o grach hazardowych (</w:t>
      </w:r>
      <w:r w:rsidR="00BE4E2A">
        <w:rPr>
          <w:rFonts w:ascii="Verdana" w:hAnsi="Verdana"/>
          <w:sz w:val="24"/>
          <w:szCs w:val="24"/>
        </w:rPr>
        <w:t>tekst jednolity</w:t>
      </w:r>
      <w:r w:rsidR="00752684">
        <w:rPr>
          <w:rFonts w:ascii="Verdana" w:hAnsi="Verdana"/>
          <w:sz w:val="24"/>
          <w:szCs w:val="24"/>
        </w:rPr>
        <w:t xml:space="preserve"> </w:t>
      </w:r>
      <w:r w:rsidRPr="00820FC0">
        <w:rPr>
          <w:rFonts w:ascii="Verdana" w:hAnsi="Verdana"/>
          <w:sz w:val="24"/>
          <w:szCs w:val="24"/>
        </w:rPr>
        <w:t>Dz</w:t>
      </w:r>
      <w:r w:rsidR="00CE5729">
        <w:rPr>
          <w:rFonts w:ascii="Verdana" w:hAnsi="Verdana"/>
          <w:sz w:val="24"/>
          <w:szCs w:val="24"/>
        </w:rPr>
        <w:t>iennik</w:t>
      </w:r>
      <w:r w:rsidRPr="00820FC0">
        <w:rPr>
          <w:rFonts w:ascii="Verdana" w:hAnsi="Verdana"/>
          <w:sz w:val="24"/>
          <w:szCs w:val="24"/>
        </w:rPr>
        <w:t xml:space="preserve"> U</w:t>
      </w:r>
      <w:r w:rsidR="00CE5729">
        <w:rPr>
          <w:rFonts w:ascii="Verdana" w:hAnsi="Verdana"/>
          <w:sz w:val="24"/>
          <w:szCs w:val="24"/>
        </w:rPr>
        <w:t>staw</w:t>
      </w:r>
      <w:r w:rsidRPr="00820FC0">
        <w:rPr>
          <w:rFonts w:ascii="Verdana" w:hAnsi="Verdana"/>
          <w:sz w:val="24"/>
          <w:szCs w:val="24"/>
        </w:rPr>
        <w:t xml:space="preserve"> z 202</w:t>
      </w:r>
      <w:r w:rsidR="00752684">
        <w:rPr>
          <w:rFonts w:ascii="Verdana" w:hAnsi="Verdana"/>
          <w:sz w:val="24"/>
          <w:szCs w:val="24"/>
        </w:rPr>
        <w:t>3</w:t>
      </w:r>
      <w:r w:rsidRPr="00820FC0">
        <w:rPr>
          <w:rFonts w:ascii="Verdana" w:hAnsi="Verdana"/>
          <w:sz w:val="24"/>
          <w:szCs w:val="24"/>
        </w:rPr>
        <w:t xml:space="preserve"> r</w:t>
      </w:r>
      <w:r w:rsidR="00752684">
        <w:rPr>
          <w:rFonts w:ascii="Verdana" w:hAnsi="Verdana"/>
          <w:sz w:val="24"/>
          <w:szCs w:val="24"/>
        </w:rPr>
        <w:t>oku</w:t>
      </w:r>
      <w:r w:rsidRPr="00820FC0">
        <w:rPr>
          <w:rFonts w:ascii="Verdana" w:hAnsi="Verdana"/>
          <w:sz w:val="24"/>
          <w:szCs w:val="24"/>
        </w:rPr>
        <w:t xml:space="preserve"> poz</w:t>
      </w:r>
      <w:r w:rsidR="00752684">
        <w:rPr>
          <w:rFonts w:ascii="Verdana" w:hAnsi="Verdana"/>
          <w:sz w:val="24"/>
          <w:szCs w:val="24"/>
        </w:rPr>
        <w:t>ycja</w:t>
      </w:r>
      <w:r w:rsidRPr="00820FC0">
        <w:rPr>
          <w:rFonts w:ascii="Verdana" w:hAnsi="Verdana"/>
          <w:sz w:val="24"/>
          <w:szCs w:val="24"/>
        </w:rPr>
        <w:t xml:space="preserve"> </w:t>
      </w:r>
      <w:r w:rsidR="00752684">
        <w:rPr>
          <w:rFonts w:ascii="Verdana" w:hAnsi="Verdana"/>
          <w:sz w:val="24"/>
          <w:szCs w:val="24"/>
        </w:rPr>
        <w:t>227</w:t>
      </w:r>
      <w:r w:rsidR="003E75BB">
        <w:rPr>
          <w:rFonts w:ascii="Verdana" w:hAnsi="Verdana"/>
          <w:sz w:val="24"/>
          <w:szCs w:val="24"/>
        </w:rPr>
        <w:t>)</w:t>
      </w:r>
      <w:r w:rsidR="00C400DD">
        <w:rPr>
          <w:rFonts w:ascii="Verdana" w:hAnsi="Verdana"/>
          <w:sz w:val="24"/>
          <w:szCs w:val="24"/>
        </w:rPr>
        <w:t>.</w:t>
      </w:r>
      <w:r w:rsidRPr="00820FC0">
        <w:rPr>
          <w:rFonts w:ascii="Verdana" w:hAnsi="Verdana"/>
          <w:sz w:val="24"/>
          <w:szCs w:val="24"/>
        </w:rPr>
        <w:t xml:space="preserve"> </w:t>
      </w:r>
    </w:p>
    <w:p w:rsidR="009177B8" w:rsidRDefault="00CF3887" w:rsidP="002E1FE9">
      <w:pPr>
        <w:spacing w:after="0" w:line="360" w:lineRule="auto"/>
        <w:rPr>
          <w:rFonts w:ascii="Verdana" w:hAnsi="Verdana" w:cs="Arial"/>
          <w:sz w:val="24"/>
          <w:szCs w:val="24"/>
          <w:shd w:val="clear" w:color="auto" w:fill="FFFFFF"/>
        </w:rPr>
      </w:pPr>
      <w:r>
        <w:rPr>
          <w:rFonts w:ascii="Verdana" w:hAnsi="Verdana"/>
          <w:sz w:val="24"/>
          <w:szCs w:val="24"/>
        </w:rPr>
        <w:t xml:space="preserve">Organizacje, które spełniają choć jeden z wyżej wymienionych </w:t>
      </w:r>
      <w:r w:rsidR="00C400DD">
        <w:rPr>
          <w:rFonts w:ascii="Verdana" w:hAnsi="Verdana"/>
          <w:sz w:val="24"/>
          <w:szCs w:val="24"/>
        </w:rPr>
        <w:t>kryteriów</w:t>
      </w:r>
      <w:r>
        <w:rPr>
          <w:rFonts w:ascii="Verdana" w:hAnsi="Verdana"/>
          <w:sz w:val="24"/>
          <w:szCs w:val="24"/>
        </w:rPr>
        <w:t xml:space="preserve">, są tym samym </w:t>
      </w:r>
      <w:r w:rsidRPr="00736FBE">
        <w:rPr>
          <w:rFonts w:ascii="Verdana" w:hAnsi="Verdana"/>
          <w:b/>
          <w:sz w:val="24"/>
          <w:szCs w:val="24"/>
        </w:rPr>
        <w:t>instytucj</w:t>
      </w:r>
      <w:r w:rsidR="00F13384" w:rsidRPr="00736FBE">
        <w:rPr>
          <w:rFonts w:ascii="Verdana" w:hAnsi="Verdana"/>
          <w:b/>
          <w:sz w:val="24"/>
          <w:szCs w:val="24"/>
        </w:rPr>
        <w:t>a</w:t>
      </w:r>
      <w:r w:rsidRPr="00736FBE">
        <w:rPr>
          <w:rFonts w:ascii="Verdana" w:hAnsi="Verdana"/>
          <w:b/>
          <w:sz w:val="24"/>
          <w:szCs w:val="24"/>
        </w:rPr>
        <w:t xml:space="preserve">mi </w:t>
      </w:r>
      <w:r w:rsidRPr="00D36AA7">
        <w:rPr>
          <w:rFonts w:ascii="Verdana" w:hAnsi="Verdana"/>
          <w:b/>
          <w:sz w:val="24"/>
          <w:szCs w:val="24"/>
        </w:rPr>
        <w:t>obowiązanymi</w:t>
      </w:r>
      <w:r>
        <w:rPr>
          <w:rFonts w:ascii="Verdana" w:hAnsi="Verdana"/>
          <w:sz w:val="24"/>
          <w:szCs w:val="24"/>
        </w:rPr>
        <w:t xml:space="preserve">, muszą spełnić szereg </w:t>
      </w:r>
      <w:r w:rsidR="00F13384">
        <w:rPr>
          <w:rFonts w:ascii="Verdana" w:hAnsi="Verdana"/>
          <w:sz w:val="24"/>
          <w:szCs w:val="24"/>
        </w:rPr>
        <w:t>określonych w ustawie obowiązków.</w:t>
      </w:r>
      <w:r w:rsidR="00323D43">
        <w:rPr>
          <w:rFonts w:ascii="Verdana" w:hAnsi="Verdana"/>
          <w:sz w:val="24"/>
          <w:szCs w:val="24"/>
        </w:rPr>
        <w:t xml:space="preserve"> Między innymi należy stosować środki bezpieczeństwa finansowego (art</w:t>
      </w:r>
      <w:r w:rsidR="00736FBE">
        <w:rPr>
          <w:rFonts w:ascii="Verdana" w:hAnsi="Verdana"/>
          <w:sz w:val="24"/>
          <w:szCs w:val="24"/>
        </w:rPr>
        <w:t>ykuł</w:t>
      </w:r>
      <w:r w:rsidR="00323D43">
        <w:rPr>
          <w:rFonts w:ascii="Verdana" w:hAnsi="Verdana"/>
          <w:sz w:val="24"/>
          <w:szCs w:val="24"/>
        </w:rPr>
        <w:t xml:space="preserve"> 34 ustawy</w:t>
      </w:r>
      <w:r w:rsidR="00323D43" w:rsidRPr="00D36AA7">
        <w:rPr>
          <w:rFonts w:ascii="Verdana" w:hAnsi="Verdana"/>
          <w:sz w:val="24"/>
          <w:szCs w:val="24"/>
        </w:rPr>
        <w:t xml:space="preserve">). </w:t>
      </w:r>
      <w:r w:rsidR="00651015" w:rsidRPr="00D36AA7">
        <w:rPr>
          <w:rFonts w:ascii="Verdana" w:hAnsi="Verdana"/>
          <w:sz w:val="24"/>
          <w:szCs w:val="24"/>
        </w:rPr>
        <w:t>Instytucje obowiązane wprowadzają wewnętrzną procedurę w zakresie przeciwdziałania praniu pieniędzy oraz finansowaniu terroryzmu, zwaną dalej „wewnętrzną procedurą instytucji obowiązanej”. Wewnętrzna procedura instytucji obowiązanej podlega bieżącej weryfikacji oraz w razie potrzeby aktualizacji</w:t>
      </w:r>
      <w:r w:rsidR="00752684">
        <w:rPr>
          <w:rFonts w:ascii="Verdana" w:hAnsi="Verdana"/>
          <w:sz w:val="24"/>
          <w:szCs w:val="24"/>
        </w:rPr>
        <w:t xml:space="preserve"> </w:t>
      </w:r>
      <w:r w:rsidR="00323D43" w:rsidRPr="00D36AA7">
        <w:rPr>
          <w:rFonts w:ascii="Verdana" w:hAnsi="Verdana"/>
          <w:sz w:val="24"/>
          <w:szCs w:val="24"/>
        </w:rPr>
        <w:t>(art</w:t>
      </w:r>
      <w:r w:rsidR="00651015" w:rsidRPr="00D36AA7">
        <w:rPr>
          <w:rFonts w:ascii="Verdana" w:hAnsi="Verdana"/>
          <w:sz w:val="24"/>
          <w:szCs w:val="24"/>
        </w:rPr>
        <w:t>ykuł</w:t>
      </w:r>
      <w:r w:rsidR="00323D43" w:rsidRPr="00D36AA7">
        <w:rPr>
          <w:rFonts w:ascii="Verdana" w:hAnsi="Verdana"/>
          <w:sz w:val="24"/>
          <w:szCs w:val="24"/>
        </w:rPr>
        <w:t xml:space="preserve"> 50</w:t>
      </w:r>
      <w:r w:rsidR="00651015" w:rsidRPr="00D36AA7">
        <w:rPr>
          <w:rFonts w:ascii="Verdana" w:hAnsi="Verdana"/>
          <w:sz w:val="24"/>
          <w:szCs w:val="24"/>
        </w:rPr>
        <w:t xml:space="preserve"> ustawy</w:t>
      </w:r>
      <w:r w:rsidR="00323D43" w:rsidRPr="00D36AA7">
        <w:rPr>
          <w:rFonts w:ascii="Verdana" w:hAnsi="Verdana"/>
          <w:sz w:val="24"/>
          <w:szCs w:val="24"/>
        </w:rPr>
        <w:t>).</w:t>
      </w:r>
      <w:r w:rsidR="00651015" w:rsidRPr="00D36AA7">
        <w:rPr>
          <w:rFonts w:ascii="Verdana" w:hAnsi="Verdana"/>
          <w:sz w:val="24"/>
          <w:szCs w:val="24"/>
        </w:rPr>
        <w:t xml:space="preserve"> Instytucje obowiązane zapewniają udział osób wykonujących obowiązki związane z przeciwdziałaniem praniu pieniędzy oraz finansowaniu terroryzmu w programach szkoleniowych dotyczących realizacji tych obowiązków, uwzględniających zagadnienia związane z ochroną danych osobowych </w:t>
      </w:r>
      <w:r w:rsidR="00323D43" w:rsidRPr="00D36AA7">
        <w:rPr>
          <w:rFonts w:ascii="Verdana" w:hAnsi="Verdana"/>
          <w:sz w:val="24"/>
          <w:szCs w:val="24"/>
        </w:rPr>
        <w:t>(artykuł 52 ustawy).</w:t>
      </w:r>
      <w:r w:rsidR="00281065">
        <w:rPr>
          <w:rFonts w:ascii="Verdana" w:hAnsi="Verdana"/>
          <w:sz w:val="24"/>
          <w:szCs w:val="24"/>
        </w:rPr>
        <w:t xml:space="preserve"> </w:t>
      </w:r>
      <w:r w:rsidR="00752684">
        <w:rPr>
          <w:rFonts w:ascii="Verdana" w:hAnsi="Verdana"/>
          <w:sz w:val="24"/>
          <w:szCs w:val="24"/>
        </w:rPr>
        <w:t>Kolejnym</w:t>
      </w:r>
      <w:r w:rsidR="00651015" w:rsidRPr="00D36AA7">
        <w:rPr>
          <w:rFonts w:ascii="Verdana" w:hAnsi="Verdana"/>
          <w:sz w:val="24"/>
          <w:szCs w:val="24"/>
        </w:rPr>
        <w:t xml:space="preserve"> obowiązkiem jest </w:t>
      </w:r>
      <w:r w:rsidR="00736FBE">
        <w:rPr>
          <w:rFonts w:ascii="Verdana" w:hAnsi="Verdana"/>
          <w:sz w:val="24"/>
          <w:szCs w:val="24"/>
        </w:rPr>
        <w:t xml:space="preserve">również </w:t>
      </w:r>
      <w:r w:rsidR="00651015" w:rsidRPr="00D36AA7">
        <w:rPr>
          <w:rFonts w:ascii="Verdana" w:hAnsi="Verdana"/>
          <w:sz w:val="24"/>
          <w:szCs w:val="24"/>
        </w:rPr>
        <w:t xml:space="preserve">obowiązek przygotowania procedur w zakresie </w:t>
      </w:r>
      <w:proofErr w:type="spellStart"/>
      <w:r w:rsidR="00651015" w:rsidRPr="00D36AA7">
        <w:rPr>
          <w:rFonts w:ascii="Verdana" w:hAnsi="Verdana"/>
          <w:sz w:val="24"/>
          <w:szCs w:val="24"/>
        </w:rPr>
        <w:t>whistleblowingu</w:t>
      </w:r>
      <w:proofErr w:type="spellEnd"/>
      <w:r w:rsidR="00651015" w:rsidRPr="00D36AA7">
        <w:rPr>
          <w:rFonts w:ascii="Verdana" w:hAnsi="Verdana"/>
          <w:sz w:val="24"/>
          <w:szCs w:val="24"/>
        </w:rPr>
        <w:t xml:space="preserve"> (</w:t>
      </w:r>
      <w:r w:rsidR="00651015" w:rsidRPr="00D36AA7">
        <w:rPr>
          <w:rFonts w:ascii="Verdana" w:hAnsi="Verdana" w:cs="Arial"/>
          <w:sz w:val="24"/>
          <w:szCs w:val="24"/>
          <w:shd w:val="clear" w:color="auto" w:fill="FFFFFF"/>
        </w:rPr>
        <w:t>informowanie o nadużyciach)</w:t>
      </w:r>
      <w:r w:rsidR="001F7005">
        <w:rPr>
          <w:rFonts w:ascii="Verdana" w:hAnsi="Verdana" w:cs="Arial"/>
          <w:sz w:val="24"/>
          <w:szCs w:val="24"/>
          <w:shd w:val="clear" w:color="auto" w:fill="FFFFFF"/>
        </w:rPr>
        <w:t xml:space="preserve">. </w:t>
      </w:r>
      <w:r w:rsidR="00651015" w:rsidRPr="00D36AA7">
        <w:rPr>
          <w:rFonts w:ascii="Verdana" w:hAnsi="Verdana"/>
          <w:sz w:val="24"/>
          <w:szCs w:val="24"/>
        </w:rPr>
        <w:t>Instytucje obowiązane opracowują i wdrażają wewnętrzną procedurę anonimowego zgłaszania przez pracowników lub inne osoby wykonujące czynności na rzecz instytucji obowiązanej rzeczywistych lub potencjalnych naruszeń przepisów z zakresu przeciwdziałania praniu pieniędzy oraz finansowaniu terroryzmu</w:t>
      </w:r>
      <w:r w:rsidR="00D36AA7">
        <w:rPr>
          <w:rFonts w:ascii="Verdana" w:hAnsi="Verdana"/>
          <w:sz w:val="24"/>
          <w:szCs w:val="24"/>
        </w:rPr>
        <w:t xml:space="preserve"> </w:t>
      </w:r>
      <w:r w:rsidR="00651015" w:rsidRPr="00D36AA7">
        <w:rPr>
          <w:rFonts w:ascii="Verdana" w:hAnsi="Verdana"/>
          <w:sz w:val="24"/>
          <w:szCs w:val="24"/>
        </w:rPr>
        <w:t>(artykuł 53 ustawy)</w:t>
      </w:r>
      <w:r w:rsidR="001F7005">
        <w:rPr>
          <w:rFonts w:ascii="Verdana" w:hAnsi="Verdana"/>
          <w:sz w:val="24"/>
          <w:szCs w:val="24"/>
        </w:rPr>
        <w:t xml:space="preserve">. </w:t>
      </w:r>
      <w:r w:rsidR="00217941">
        <w:rPr>
          <w:rFonts w:ascii="Verdana" w:hAnsi="Verdana"/>
          <w:sz w:val="24"/>
          <w:szCs w:val="24"/>
        </w:rPr>
        <w:t>Ponadto j</w:t>
      </w:r>
      <w:r w:rsidR="001F7005">
        <w:rPr>
          <w:rFonts w:ascii="Verdana" w:hAnsi="Verdana"/>
          <w:sz w:val="24"/>
          <w:szCs w:val="24"/>
        </w:rPr>
        <w:t>ednym z obowiązkó</w:t>
      </w:r>
      <w:r w:rsidR="00F42BDE">
        <w:rPr>
          <w:rFonts w:ascii="Verdana" w:hAnsi="Verdana"/>
          <w:sz w:val="24"/>
          <w:szCs w:val="24"/>
        </w:rPr>
        <w:t>w</w:t>
      </w:r>
      <w:r w:rsidR="001F7005">
        <w:rPr>
          <w:rFonts w:ascii="Verdana" w:hAnsi="Verdana"/>
          <w:sz w:val="24"/>
          <w:szCs w:val="24"/>
        </w:rPr>
        <w:t>, które muszą spełnić organizacje (n</w:t>
      </w:r>
      <w:r w:rsidR="00651015">
        <w:rPr>
          <w:rFonts w:ascii="Verdana" w:hAnsi="Verdana" w:cs="Arial"/>
          <w:sz w:val="24"/>
          <w:szCs w:val="24"/>
          <w:shd w:val="clear" w:color="auto" w:fill="FFFFFF"/>
        </w:rPr>
        <w:t>ie dotyczy stowarzyszeń zwykłych</w:t>
      </w:r>
      <w:r w:rsidR="00C211CD">
        <w:rPr>
          <w:rFonts w:ascii="Verdana" w:hAnsi="Verdana" w:cs="Arial"/>
          <w:sz w:val="24"/>
          <w:szCs w:val="24"/>
          <w:shd w:val="clear" w:color="auto" w:fill="FFFFFF"/>
        </w:rPr>
        <w:t>) jest zgłoszenie swoich beneficjentów rzeczywistych do Centralnego Rejestru Beneficjentów Rzeczywistych</w:t>
      </w:r>
      <w:r w:rsidR="00752684">
        <w:rPr>
          <w:rFonts w:ascii="Verdana" w:hAnsi="Verdana" w:cs="Arial"/>
          <w:sz w:val="24"/>
          <w:szCs w:val="24"/>
          <w:shd w:val="clear" w:color="auto" w:fill="FFFFFF"/>
        </w:rPr>
        <w:t xml:space="preserve"> (</w:t>
      </w:r>
      <w:r w:rsidR="00281065">
        <w:rPr>
          <w:rFonts w:ascii="Verdana" w:hAnsi="Verdana" w:cs="Arial"/>
          <w:sz w:val="24"/>
          <w:szCs w:val="24"/>
          <w:shd w:val="clear" w:color="auto" w:fill="FFFFFF"/>
        </w:rPr>
        <w:t>artykuł 55-71a</w:t>
      </w:r>
      <w:r w:rsidR="00752684">
        <w:rPr>
          <w:rFonts w:ascii="Verdana" w:hAnsi="Verdana" w:cs="Arial"/>
          <w:sz w:val="24"/>
          <w:szCs w:val="24"/>
          <w:shd w:val="clear" w:color="auto" w:fill="FFFFFF"/>
        </w:rPr>
        <w:t xml:space="preserve"> ustawy)</w:t>
      </w:r>
      <w:r w:rsidR="00C211CD">
        <w:rPr>
          <w:rFonts w:ascii="Verdana" w:hAnsi="Verdana" w:cs="Arial"/>
          <w:sz w:val="24"/>
          <w:szCs w:val="24"/>
          <w:shd w:val="clear" w:color="auto" w:fill="FFFFFF"/>
        </w:rPr>
        <w:t xml:space="preserve">, dostępnego pod adresem: </w:t>
      </w:r>
      <w:hyperlink r:id="rId7" w:anchor="/" w:history="1">
        <w:r w:rsidR="00C211CD" w:rsidRPr="00747EF3">
          <w:rPr>
            <w:rStyle w:val="Hipercze"/>
            <w:rFonts w:ascii="Verdana" w:hAnsi="Verdana" w:cs="Arial"/>
            <w:sz w:val="24"/>
            <w:szCs w:val="24"/>
            <w:shd w:val="clear" w:color="auto" w:fill="FFFFFF"/>
          </w:rPr>
          <w:t>https</w:t>
        </w:r>
        <w:r w:rsidR="00C211CD" w:rsidRPr="00747EF3">
          <w:rPr>
            <w:rStyle w:val="Hipercze"/>
            <w:rFonts w:ascii="Verdana" w:hAnsi="Verdana" w:cs="Arial"/>
            <w:sz w:val="24"/>
            <w:szCs w:val="24"/>
            <w:shd w:val="clear" w:color="auto" w:fill="FFFFFF"/>
          </w:rPr>
          <w:t>:</w:t>
        </w:r>
        <w:r w:rsidR="00C211CD" w:rsidRPr="00747EF3">
          <w:rPr>
            <w:rStyle w:val="Hipercze"/>
            <w:rFonts w:ascii="Verdana" w:hAnsi="Verdana" w:cs="Arial"/>
            <w:sz w:val="24"/>
            <w:szCs w:val="24"/>
            <w:shd w:val="clear" w:color="auto" w:fill="FFFFFF"/>
          </w:rPr>
          <w:t>//crbr.podatki.gov.pl/adcrbr/#/</w:t>
        </w:r>
      </w:hyperlink>
    </w:p>
    <w:p w:rsidR="00C211CD" w:rsidRDefault="00C211CD" w:rsidP="002E1FE9">
      <w:p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W przypadku miedzy innymi fundacji z</w:t>
      </w:r>
      <w:r w:rsidR="00281065">
        <w:rPr>
          <w:rFonts w:ascii="Verdana" w:hAnsi="Verdana"/>
          <w:sz w:val="24"/>
          <w:szCs w:val="24"/>
        </w:rPr>
        <w:t>a</w:t>
      </w:r>
      <w:r>
        <w:rPr>
          <w:rFonts w:ascii="Verdana" w:hAnsi="Verdana"/>
          <w:sz w:val="24"/>
          <w:szCs w:val="24"/>
        </w:rPr>
        <w:t>łożonych przez osoby fizyczne i</w:t>
      </w:r>
      <w:r w:rsidR="005F033E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stowarzyszeń rejestrowych</w:t>
      </w:r>
      <w:r w:rsidR="00B24A2B">
        <w:rPr>
          <w:rFonts w:ascii="Verdana" w:hAnsi="Verdana"/>
          <w:sz w:val="24"/>
          <w:szCs w:val="24"/>
        </w:rPr>
        <w:t xml:space="preserve"> skupiający</w:t>
      </w:r>
      <w:r w:rsidR="00F42BDE">
        <w:rPr>
          <w:rFonts w:ascii="Verdana" w:hAnsi="Verdana"/>
          <w:sz w:val="24"/>
          <w:szCs w:val="24"/>
        </w:rPr>
        <w:t>ch</w:t>
      </w:r>
      <w:r w:rsidR="00B24A2B">
        <w:rPr>
          <w:rFonts w:ascii="Verdana" w:hAnsi="Verdana"/>
          <w:sz w:val="24"/>
          <w:szCs w:val="24"/>
        </w:rPr>
        <w:t xml:space="preserve"> osoby fizyczne – </w:t>
      </w:r>
      <w:r w:rsidR="00B24A2B" w:rsidRPr="00217941">
        <w:rPr>
          <w:rFonts w:ascii="Verdana" w:hAnsi="Verdana"/>
          <w:b/>
          <w:sz w:val="24"/>
          <w:szCs w:val="24"/>
        </w:rPr>
        <w:t>beneficjentem rzeczywistym</w:t>
      </w:r>
      <w:r w:rsidR="00B24A2B">
        <w:rPr>
          <w:rFonts w:ascii="Verdana" w:hAnsi="Verdana"/>
          <w:sz w:val="24"/>
          <w:szCs w:val="24"/>
        </w:rPr>
        <w:t xml:space="preserve"> jest każda osoba fizyczna dysponująca </w:t>
      </w:r>
      <w:r w:rsidR="00B24A2B">
        <w:rPr>
          <w:rFonts w:ascii="Verdana" w:hAnsi="Verdana"/>
          <w:sz w:val="24"/>
          <w:szCs w:val="24"/>
        </w:rPr>
        <w:lastRenderedPageBreak/>
        <w:t>więcej niż 25% ogólnej liczby głosów w organie stanowiącym tej osoby prawnej, a jeśli nie można ustalić tożsamości takich osób – każdy członek zarządu organizacji.</w:t>
      </w:r>
    </w:p>
    <w:p w:rsidR="00B24A2B" w:rsidRDefault="00B24A2B" w:rsidP="002E1FE9">
      <w:p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Jeżeli organizacja pożytku publicznego nie dopełni któregokolwiek z</w:t>
      </w:r>
      <w:r w:rsidR="005F033E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nałożonych na nią obowiązków podlega karze.</w:t>
      </w:r>
    </w:p>
    <w:p w:rsidR="00B24A2B" w:rsidRDefault="00B24A2B" w:rsidP="002E1FE9">
      <w:pPr>
        <w:spacing w:after="0" w:line="360" w:lineRule="auto"/>
        <w:rPr>
          <w:rFonts w:ascii="Verdana" w:hAnsi="Verdana"/>
          <w:b/>
          <w:sz w:val="24"/>
          <w:szCs w:val="24"/>
        </w:rPr>
      </w:pPr>
      <w:r w:rsidRPr="00B24A2B">
        <w:rPr>
          <w:rFonts w:ascii="Verdana" w:hAnsi="Verdana"/>
          <w:b/>
          <w:sz w:val="24"/>
          <w:szCs w:val="24"/>
        </w:rPr>
        <w:t>Jeżeli Twoja organizacja</w:t>
      </w:r>
      <w:r>
        <w:rPr>
          <w:rFonts w:ascii="Verdana" w:hAnsi="Verdana"/>
          <w:sz w:val="24"/>
          <w:szCs w:val="24"/>
        </w:rPr>
        <w:t>: nie przyjmuje i nie dokonuje płatności w</w:t>
      </w:r>
      <w:r w:rsidR="005F033E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gotówce o wartości równej lub przekraczającej równowartość 10 000 euro, nie prowadzi działalności w zakresie gier losowych i nie prowadzi</w:t>
      </w:r>
      <w:r w:rsidR="00CE3246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działalności w zakresie usługowego prowadzenia ksiąg rachunkowych – </w:t>
      </w:r>
      <w:r w:rsidRPr="00CE3246">
        <w:rPr>
          <w:rFonts w:ascii="Verdana" w:hAnsi="Verdana"/>
          <w:b/>
          <w:sz w:val="24"/>
          <w:szCs w:val="24"/>
        </w:rPr>
        <w:t>nie jest ona instytucją obowiązaną w</w:t>
      </w:r>
      <w:r w:rsidR="00806E55">
        <w:rPr>
          <w:rFonts w:ascii="Verdana" w:hAnsi="Verdana"/>
          <w:b/>
          <w:sz w:val="24"/>
          <w:szCs w:val="24"/>
        </w:rPr>
        <w:t> </w:t>
      </w:r>
      <w:r w:rsidRPr="00CE3246">
        <w:rPr>
          <w:rFonts w:ascii="Verdana" w:hAnsi="Verdana"/>
          <w:b/>
          <w:sz w:val="24"/>
          <w:szCs w:val="24"/>
        </w:rPr>
        <w:t>rozumieniu ustawy.</w:t>
      </w:r>
    </w:p>
    <w:p w:rsidR="00CE3246" w:rsidRPr="006238BD" w:rsidRDefault="00CE3246" w:rsidP="002E1FE9">
      <w:pPr>
        <w:spacing w:after="0" w:line="360" w:lineRule="auto"/>
        <w:rPr>
          <w:rFonts w:ascii="Verdana" w:hAnsi="Verdana"/>
          <w:sz w:val="24"/>
          <w:szCs w:val="24"/>
        </w:rPr>
      </w:pPr>
      <w:r w:rsidRPr="006238BD">
        <w:rPr>
          <w:rFonts w:ascii="Verdana" w:hAnsi="Verdana"/>
          <w:sz w:val="24"/>
          <w:szCs w:val="24"/>
        </w:rPr>
        <w:t>W celu potwierdzenia tego faktu, można między innymi:</w:t>
      </w:r>
    </w:p>
    <w:p w:rsidR="00CE3246" w:rsidRPr="006238BD" w:rsidRDefault="00CE3246" w:rsidP="002E1FE9">
      <w:pPr>
        <w:pStyle w:val="Akapitzlist"/>
        <w:numPr>
          <w:ilvl w:val="0"/>
          <w:numId w:val="7"/>
        </w:numPr>
        <w:spacing w:after="0" w:line="360" w:lineRule="auto"/>
        <w:rPr>
          <w:rFonts w:ascii="Verdana" w:hAnsi="Verdana"/>
          <w:sz w:val="24"/>
          <w:szCs w:val="24"/>
        </w:rPr>
      </w:pPr>
      <w:r w:rsidRPr="006238BD">
        <w:rPr>
          <w:rFonts w:ascii="Verdana" w:hAnsi="Verdana"/>
          <w:sz w:val="24"/>
          <w:szCs w:val="24"/>
        </w:rPr>
        <w:t>dokonać stosownego zapisu w statucie organizacji,</w:t>
      </w:r>
    </w:p>
    <w:p w:rsidR="00CE3246" w:rsidRPr="006238BD" w:rsidRDefault="00CE3246" w:rsidP="002E1FE9">
      <w:pPr>
        <w:pStyle w:val="Akapitzlist"/>
        <w:numPr>
          <w:ilvl w:val="0"/>
          <w:numId w:val="7"/>
        </w:numPr>
        <w:spacing w:after="0" w:line="360" w:lineRule="auto"/>
        <w:rPr>
          <w:rFonts w:ascii="Verdana" w:hAnsi="Verdana"/>
          <w:sz w:val="24"/>
          <w:szCs w:val="24"/>
        </w:rPr>
      </w:pPr>
      <w:r w:rsidRPr="006238BD">
        <w:rPr>
          <w:rFonts w:ascii="Verdana" w:hAnsi="Verdana"/>
          <w:sz w:val="24"/>
          <w:szCs w:val="24"/>
        </w:rPr>
        <w:t>wprowadzić odpowiednie regulacje w dokumentacji finansowo – księgowej, na przykład w polityce rachunkowości,</w:t>
      </w:r>
    </w:p>
    <w:p w:rsidR="00CE3246" w:rsidRDefault="00CE3246" w:rsidP="002E1FE9">
      <w:pPr>
        <w:pStyle w:val="Akapitzlist"/>
        <w:numPr>
          <w:ilvl w:val="0"/>
          <w:numId w:val="7"/>
        </w:numPr>
        <w:spacing w:after="0" w:line="360" w:lineRule="auto"/>
        <w:rPr>
          <w:rFonts w:ascii="Verdana" w:hAnsi="Verdana"/>
          <w:sz w:val="24"/>
          <w:szCs w:val="24"/>
        </w:rPr>
      </w:pPr>
      <w:r w:rsidRPr="006238BD">
        <w:rPr>
          <w:rFonts w:ascii="Verdana" w:hAnsi="Verdana"/>
          <w:sz w:val="24"/>
          <w:szCs w:val="24"/>
        </w:rPr>
        <w:t>złożyć organowi nadzoru stosowne oświadczenie</w:t>
      </w:r>
      <w:r w:rsidR="006238BD" w:rsidRPr="006238BD">
        <w:rPr>
          <w:rFonts w:ascii="Verdana" w:hAnsi="Verdana"/>
          <w:sz w:val="24"/>
          <w:szCs w:val="24"/>
        </w:rPr>
        <w:t xml:space="preserve">, którego wzór jest dostępny </w:t>
      </w:r>
      <w:r w:rsidR="004A5299">
        <w:rPr>
          <w:rFonts w:ascii="Verdana" w:hAnsi="Verdana"/>
          <w:sz w:val="24"/>
          <w:szCs w:val="24"/>
        </w:rPr>
        <w:t xml:space="preserve">na stronie internetowej </w:t>
      </w:r>
      <w:r w:rsidR="006238BD" w:rsidRPr="006238BD">
        <w:rPr>
          <w:rFonts w:ascii="Verdana" w:hAnsi="Verdana"/>
          <w:sz w:val="24"/>
          <w:szCs w:val="24"/>
        </w:rPr>
        <w:t>Starostwa</w:t>
      </w:r>
      <w:r w:rsidR="004A5299">
        <w:rPr>
          <w:rFonts w:ascii="Verdana" w:hAnsi="Verdana"/>
          <w:sz w:val="24"/>
          <w:szCs w:val="24"/>
        </w:rPr>
        <w:t xml:space="preserve"> Powiatowego w </w:t>
      </w:r>
      <w:bookmarkStart w:id="0" w:name="_GoBack"/>
      <w:bookmarkEnd w:id="0"/>
      <w:r w:rsidR="004A5299">
        <w:rPr>
          <w:rFonts w:ascii="Verdana" w:hAnsi="Verdana"/>
          <w:sz w:val="24"/>
          <w:szCs w:val="24"/>
        </w:rPr>
        <w:t>Miechowie</w:t>
      </w:r>
    </w:p>
    <w:p w:rsidR="006238BD" w:rsidRDefault="006238BD" w:rsidP="002E1FE9">
      <w:pPr>
        <w:spacing w:after="0"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O instytucjach obowiązanych w świetle znowelizowanej ustawy jak i</w:t>
      </w:r>
      <w:r w:rsidR="005F033E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o</w:t>
      </w:r>
      <w:r w:rsidR="005F033E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obowiązkach na nie nakładanych można szerzej poczytać między innymi w</w:t>
      </w:r>
      <w:r w:rsidR="005F033E">
        <w:rPr>
          <w:rFonts w:ascii="Verdana" w:hAnsi="Verdana"/>
          <w:sz w:val="24"/>
          <w:szCs w:val="24"/>
        </w:rPr>
        <w:t> </w:t>
      </w:r>
      <w:r>
        <w:rPr>
          <w:rFonts w:ascii="Verdana" w:hAnsi="Verdana"/>
          <w:sz w:val="24"/>
          <w:szCs w:val="24"/>
        </w:rPr>
        <w:t>poradnikach dostępnych poniżej:</w:t>
      </w:r>
    </w:p>
    <w:p w:rsidR="006238BD" w:rsidRDefault="0067355E" w:rsidP="002E1FE9">
      <w:pPr>
        <w:spacing w:after="0" w:line="360" w:lineRule="auto"/>
        <w:rPr>
          <w:rFonts w:ascii="Verdana" w:hAnsi="Verdana"/>
          <w:sz w:val="24"/>
          <w:szCs w:val="24"/>
        </w:rPr>
      </w:pPr>
      <w:hyperlink r:id="rId8" w:history="1">
        <w:r w:rsidR="006238BD" w:rsidRPr="00747EF3">
          <w:rPr>
            <w:rStyle w:val="Hipercze"/>
            <w:rFonts w:ascii="Verdana" w:hAnsi="Verdana"/>
            <w:sz w:val="24"/>
            <w:szCs w:val="24"/>
          </w:rPr>
          <w:t>https://publi</w:t>
        </w:r>
        <w:r w:rsidR="006238BD" w:rsidRPr="00747EF3">
          <w:rPr>
            <w:rStyle w:val="Hipercze"/>
            <w:rFonts w:ascii="Verdana" w:hAnsi="Verdana"/>
            <w:sz w:val="24"/>
            <w:szCs w:val="24"/>
          </w:rPr>
          <w:t>c</w:t>
        </w:r>
        <w:r w:rsidR="006238BD" w:rsidRPr="00747EF3">
          <w:rPr>
            <w:rStyle w:val="Hipercze"/>
            <w:rFonts w:ascii="Verdana" w:hAnsi="Verdana"/>
            <w:sz w:val="24"/>
            <w:szCs w:val="24"/>
          </w:rPr>
          <w:t>ystyka.ngo.pl/kiedy-i-jak-ngo-stosuja-ustawe-o-przeciwdzialaniu-praniu-pieniedzy</w:t>
        </w:r>
      </w:hyperlink>
    </w:p>
    <w:p w:rsidR="006238BD" w:rsidRDefault="0067355E" w:rsidP="002E1FE9">
      <w:pPr>
        <w:spacing w:after="0" w:line="360" w:lineRule="auto"/>
        <w:rPr>
          <w:rFonts w:ascii="Verdana" w:hAnsi="Verdana"/>
          <w:sz w:val="24"/>
          <w:szCs w:val="24"/>
        </w:rPr>
      </w:pPr>
      <w:hyperlink r:id="rId9" w:history="1">
        <w:r w:rsidR="00E85D8C" w:rsidRPr="00747EF3">
          <w:rPr>
            <w:rStyle w:val="Hipercze"/>
            <w:rFonts w:ascii="Verdana" w:hAnsi="Verdana"/>
            <w:sz w:val="24"/>
            <w:szCs w:val="24"/>
          </w:rPr>
          <w:t>https://poradnik.ngo.pl/obowiazki-ngo-z-ustawy-o-przeciwdzialaniu-praniu-pieniedzy-crbr</w:t>
        </w:r>
      </w:hyperlink>
    </w:p>
    <w:p w:rsidR="005F033E" w:rsidRPr="005F033E" w:rsidRDefault="0067355E" w:rsidP="002E1FE9">
      <w:pPr>
        <w:spacing w:after="0" w:line="360" w:lineRule="auto"/>
        <w:rPr>
          <w:rFonts w:ascii="Verdana" w:hAnsi="Verdana"/>
          <w:color w:val="0000FF"/>
          <w:sz w:val="24"/>
          <w:szCs w:val="24"/>
          <w:u w:val="single"/>
        </w:rPr>
      </w:pPr>
      <w:hyperlink r:id="rId10" w:history="1">
        <w:r w:rsidR="00E85D8C" w:rsidRPr="00747EF3">
          <w:rPr>
            <w:rStyle w:val="Hipercze"/>
            <w:rFonts w:ascii="Verdana" w:hAnsi="Verdana"/>
            <w:sz w:val="24"/>
            <w:szCs w:val="24"/>
          </w:rPr>
          <w:t>https://publicystyka.ngo.pl/przeciwdzialanie-praniu-pieniedzy-nowe-obowiazki-ngo-od-pazdziernika</w:t>
        </w:r>
      </w:hyperlink>
    </w:p>
    <w:sectPr w:rsidR="005F033E" w:rsidRPr="005F033E" w:rsidSect="003E75BB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355E" w:rsidRDefault="0067355E" w:rsidP="00D26C3B">
      <w:pPr>
        <w:spacing w:after="0" w:line="240" w:lineRule="auto"/>
      </w:pPr>
      <w:r>
        <w:separator/>
      </w:r>
    </w:p>
  </w:endnote>
  <w:endnote w:type="continuationSeparator" w:id="0">
    <w:p w:rsidR="0067355E" w:rsidRDefault="0067355E" w:rsidP="00D26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">
    <w:altName w:val="Calibri"/>
    <w:charset w:val="0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0601671"/>
      <w:docPartObj>
        <w:docPartGallery w:val="Page Numbers (Bottom of Page)"/>
        <w:docPartUnique/>
      </w:docPartObj>
    </w:sdtPr>
    <w:sdtContent>
      <w:p w:rsidR="00D26C3B" w:rsidRDefault="00D26C3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D26C3B" w:rsidRDefault="00D26C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355E" w:rsidRDefault="0067355E" w:rsidP="00D26C3B">
      <w:pPr>
        <w:spacing w:after="0" w:line="240" w:lineRule="auto"/>
      </w:pPr>
      <w:r>
        <w:separator/>
      </w:r>
    </w:p>
  </w:footnote>
  <w:footnote w:type="continuationSeparator" w:id="0">
    <w:p w:rsidR="0067355E" w:rsidRDefault="0067355E" w:rsidP="00D26C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8772C"/>
    <w:multiLevelType w:val="hybridMultilevel"/>
    <w:tmpl w:val="2DCC4058"/>
    <w:lvl w:ilvl="0" w:tplc="214E2A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04E65"/>
    <w:multiLevelType w:val="multilevel"/>
    <w:tmpl w:val="4C6E78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5C3A0E"/>
    <w:multiLevelType w:val="hybridMultilevel"/>
    <w:tmpl w:val="954059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C273E"/>
    <w:multiLevelType w:val="multilevel"/>
    <w:tmpl w:val="5C189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6B50C57"/>
    <w:multiLevelType w:val="hybridMultilevel"/>
    <w:tmpl w:val="A9E2E8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5C6208"/>
    <w:multiLevelType w:val="multilevel"/>
    <w:tmpl w:val="1AEC2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F2C0E7F"/>
    <w:multiLevelType w:val="hybridMultilevel"/>
    <w:tmpl w:val="A9E2E8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024"/>
    <w:rsid w:val="00085104"/>
    <w:rsid w:val="00107DE2"/>
    <w:rsid w:val="00165CE7"/>
    <w:rsid w:val="001705E5"/>
    <w:rsid w:val="001F7005"/>
    <w:rsid w:val="00205CED"/>
    <w:rsid w:val="00217941"/>
    <w:rsid w:val="00230018"/>
    <w:rsid w:val="00281065"/>
    <w:rsid w:val="002E1FE9"/>
    <w:rsid w:val="0032170D"/>
    <w:rsid w:val="00323D43"/>
    <w:rsid w:val="0036373B"/>
    <w:rsid w:val="00396814"/>
    <w:rsid w:val="003E75BB"/>
    <w:rsid w:val="004829BF"/>
    <w:rsid w:val="004A3150"/>
    <w:rsid w:val="004A3C58"/>
    <w:rsid w:val="004A5299"/>
    <w:rsid w:val="004E2DA6"/>
    <w:rsid w:val="005A7D54"/>
    <w:rsid w:val="005C401D"/>
    <w:rsid w:val="005F033E"/>
    <w:rsid w:val="006238BD"/>
    <w:rsid w:val="00635194"/>
    <w:rsid w:val="00651015"/>
    <w:rsid w:val="0067355E"/>
    <w:rsid w:val="00674356"/>
    <w:rsid w:val="0069674B"/>
    <w:rsid w:val="006A4F54"/>
    <w:rsid w:val="00736FBE"/>
    <w:rsid w:val="00752684"/>
    <w:rsid w:val="00754B23"/>
    <w:rsid w:val="007E0F0F"/>
    <w:rsid w:val="00806E55"/>
    <w:rsid w:val="00820FC0"/>
    <w:rsid w:val="00821111"/>
    <w:rsid w:val="008457F0"/>
    <w:rsid w:val="0087661D"/>
    <w:rsid w:val="008A3585"/>
    <w:rsid w:val="008A3DBF"/>
    <w:rsid w:val="008D0613"/>
    <w:rsid w:val="008D2831"/>
    <w:rsid w:val="00904E23"/>
    <w:rsid w:val="009177B8"/>
    <w:rsid w:val="00957371"/>
    <w:rsid w:val="009A6345"/>
    <w:rsid w:val="009B1BE0"/>
    <w:rsid w:val="009B390E"/>
    <w:rsid w:val="00A55987"/>
    <w:rsid w:val="00AF2024"/>
    <w:rsid w:val="00B07D6D"/>
    <w:rsid w:val="00B24A2B"/>
    <w:rsid w:val="00B25CE5"/>
    <w:rsid w:val="00B349B7"/>
    <w:rsid w:val="00BC092C"/>
    <w:rsid w:val="00BD531B"/>
    <w:rsid w:val="00BE3492"/>
    <w:rsid w:val="00BE4E2A"/>
    <w:rsid w:val="00C211CD"/>
    <w:rsid w:val="00C33102"/>
    <w:rsid w:val="00C400DD"/>
    <w:rsid w:val="00C423CB"/>
    <w:rsid w:val="00CD2B4A"/>
    <w:rsid w:val="00CE3246"/>
    <w:rsid w:val="00CE5729"/>
    <w:rsid w:val="00CF3887"/>
    <w:rsid w:val="00D04027"/>
    <w:rsid w:val="00D26C3B"/>
    <w:rsid w:val="00D36AA7"/>
    <w:rsid w:val="00D46EAF"/>
    <w:rsid w:val="00D80EBC"/>
    <w:rsid w:val="00D84FA5"/>
    <w:rsid w:val="00E50DDE"/>
    <w:rsid w:val="00E71B7F"/>
    <w:rsid w:val="00E85D8C"/>
    <w:rsid w:val="00EA0F86"/>
    <w:rsid w:val="00EF0665"/>
    <w:rsid w:val="00F13384"/>
    <w:rsid w:val="00F24F66"/>
    <w:rsid w:val="00F4199C"/>
    <w:rsid w:val="00F42BDE"/>
    <w:rsid w:val="00FA3B8A"/>
    <w:rsid w:val="00FB2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CBD54"/>
  <w15:chartTrackingRefBased/>
  <w15:docId w15:val="{22D93DFD-B1FB-477C-B544-172D5415D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57371"/>
    <w:pPr>
      <w:keepNext/>
      <w:keepLines/>
      <w:spacing w:before="240" w:after="0"/>
      <w:outlineLvl w:val="0"/>
    </w:pPr>
    <w:rPr>
      <w:rFonts w:ascii="Verdana" w:eastAsiaTheme="majorEastAsia" w:hAnsi="Verdana" w:cstheme="majorBidi"/>
      <w:b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65CE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CD2B4A"/>
    <w:rPr>
      <w:b/>
      <w:bCs/>
    </w:rPr>
  </w:style>
  <w:style w:type="paragraph" w:styleId="Akapitzlist">
    <w:name w:val="List Paragraph"/>
    <w:basedOn w:val="Normalny"/>
    <w:uiPriority w:val="34"/>
    <w:qFormat/>
    <w:rsid w:val="00674356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4E2DA6"/>
    <w:rPr>
      <w:color w:val="0000FF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957371"/>
    <w:rPr>
      <w:rFonts w:ascii="Verdana" w:eastAsiaTheme="majorEastAsia" w:hAnsi="Verdana" w:cstheme="majorBidi"/>
      <w:b/>
      <w:sz w:val="24"/>
      <w:szCs w:val="32"/>
    </w:rPr>
  </w:style>
  <w:style w:type="paragraph" w:customStyle="1" w:styleId="Styl1">
    <w:name w:val="Styl1"/>
    <w:basedOn w:val="Normalny"/>
    <w:link w:val="Styl1Znak"/>
    <w:qFormat/>
    <w:rsid w:val="00957371"/>
    <w:pPr>
      <w:keepNext/>
      <w:keepLines/>
      <w:suppressAutoHyphens/>
      <w:autoSpaceDN w:val="0"/>
      <w:spacing w:after="0" w:line="360" w:lineRule="auto"/>
      <w:textAlignment w:val="baseline"/>
      <w:outlineLvl w:val="0"/>
    </w:pPr>
    <w:rPr>
      <w:rFonts w:ascii="Verdana" w:eastAsia="Times New Roman" w:hAnsi="Verdana" w:cs="F"/>
      <w:b/>
      <w:sz w:val="24"/>
      <w:szCs w:val="24"/>
      <w:lang w:eastAsia="pl-PL"/>
    </w:rPr>
  </w:style>
  <w:style w:type="character" w:customStyle="1" w:styleId="Styl1Znak">
    <w:name w:val="Styl1 Znak"/>
    <w:basedOn w:val="Domylnaczcionkaakapitu"/>
    <w:link w:val="Styl1"/>
    <w:rsid w:val="00957371"/>
    <w:rPr>
      <w:rFonts w:ascii="Verdana" w:eastAsia="Times New Roman" w:hAnsi="Verdana" w:cs="F"/>
      <w:b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65CE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Default">
    <w:name w:val="Default"/>
    <w:rsid w:val="00F419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211CD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5D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5D8C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D26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26C3B"/>
  </w:style>
  <w:style w:type="paragraph" w:styleId="Stopka">
    <w:name w:val="footer"/>
    <w:basedOn w:val="Normalny"/>
    <w:link w:val="StopkaZnak"/>
    <w:uiPriority w:val="99"/>
    <w:unhideWhenUsed/>
    <w:rsid w:val="00D26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26C3B"/>
  </w:style>
  <w:style w:type="character" w:styleId="UyteHipercze">
    <w:name w:val="FollowedHyperlink"/>
    <w:basedOn w:val="Domylnaczcionkaakapitu"/>
    <w:uiPriority w:val="99"/>
    <w:semiHidden/>
    <w:unhideWhenUsed/>
    <w:rsid w:val="002E1F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530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8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licystyka.ngo.pl/kiedy-i-jak-ngo-stosuja-ustawe-o-przeciwdzialaniu-praniu-pieniedz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rbr.podatki.gov.pl/adcrbr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publicystyka.ngo.pl/przeciwdzialanie-praniu-pieniedzy-nowe-obowiazki-ngo-od-pazdziernik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oradnik.ngo.pl/obowiazki-ngo-z-ustawy-o-przeciwdzialaniu-praniu-pieniedzy-crb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3</Pages>
  <Words>777</Words>
  <Characters>4665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karta sprawy kształcenie specjalne</vt:lpstr>
    </vt:vector>
  </TitlesOfParts>
  <Company/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Ustawa o przeciwdziałaniu praniu pieniędzy. Jak i kiedy stosują ustawę organizacje pozarządowe.</dc:title>
  <dc:subject/>
  <dc:creator>Małgorzata Pawłowska</dc:creator>
  <cp:keywords>Ustawa o przeciwdziałaniu praniu pieniędzy</cp:keywords>
  <dc:description/>
  <cp:lastModifiedBy>Mpawlowska</cp:lastModifiedBy>
  <cp:revision>17</cp:revision>
  <cp:lastPrinted>2023-06-13T10:59:00Z</cp:lastPrinted>
  <dcterms:created xsi:type="dcterms:W3CDTF">2023-06-12T07:56:00Z</dcterms:created>
  <dcterms:modified xsi:type="dcterms:W3CDTF">2023-07-26T11:05:00Z</dcterms:modified>
</cp:coreProperties>
</file>