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.07.2021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24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.07.2021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Prognozowane są burze, którym miejscami będą towarzyszyć opady deszczu od 20 mm do 30 mm oraz porywy wiatru do 80 km/h. Miejscami 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LibreOffice/6.3.3.2$Windows_X86_64 LibreOffice_project/a64200df03143b798afd1ec74a12ab50359878ed</Application>
  <Pages>1</Pages>
  <Words>51</Words>
  <Characters>329</Characters>
  <CharactersWithSpaces>373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2021-07-16T09:28:39Z</dcterms:modified>
  <cp:revision>36</cp:revision>
  <dc:subject>Burze z gradem</dc:subject>
  <dc:title>Ostrzeżenie meteorologiczne</dc:title>
</cp:coreProperties>
</file>